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DECLARAÇÃO</w:t>
      </w:r>
      <w:r w:rsidDel="00000000" w:rsidR="00000000" w:rsidRPr="00000000">
        <w:rPr>
          <w:rFonts w:ascii="Questrial" w:cs="Questrial" w:eastAsia="Questrial" w:hAnsi="Questrial"/>
          <w:b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(nome), inscrito sob o CPF (número), declaro para os devidos fins que não possuo vínculo como aluno ou tutor do Consórcio Cederj.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( assinatura)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amum5x6419t3" w:id="0"/>
      <w:bookmarkEnd w:id="0"/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(necessário assinatura eletrônica)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5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6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-123818</wp:posOffset>
          </wp:positionV>
          <wp:extent cx="620395" cy="75882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ANEXO VI - Lista de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4"/>
        <w:szCs w:val="24"/>
        <w:rtl w:val="0"/>
      </w:rPr>
      <w:t xml:space="preserve">e-mails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para pedido de recurso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200" w:line="331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ENDEREÇOS ELETRÔNICOS PARA ENVIO DOS RECURSOS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809625" cy="1066800"/>
          <wp:effectExtent b="0" l="0" r="0" t="0"/>
          <wp:docPr descr="C:\Users\acaroline\Downloads\logo_governo_pb.png" id="11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VII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Modelo de Declaração de não vinculação como aluno/tutor do Consórcio Cederj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72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72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ygTj6zpyAJLPOBGQfSC0HWklQ==">CgMxLjAyDmguYW11bTV4NjQxOXQzOAByITF2R0NtdnRaUUZDTWJrNk82MTdOcUNKS0E0ejJiTDluVA==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2025-11-05T20:23:00Z</dcterms:created>
  <dc:creator>Marianna Bernstein</dc:creator>
</cp:coreProperties>
</file>