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Questrial" w:cs="Questrial" w:eastAsia="Questrial" w:hAnsi="Quest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Eu, ________________________________________________________, inscrito sob o CPF_________________________________, declaro 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ser pessoa: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(     ) 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preta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(     ) 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parda</w:t>
      </w: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     ) indígena</w:t>
      </w:r>
    </w:p>
    <w:p w:rsidR="00000000" w:rsidDel="00000000" w:rsidP="00000000" w:rsidRDefault="00000000" w:rsidRPr="00000000" w14:paraId="00000007">
      <w:pPr>
        <w:widowControl w:val="0"/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     ) com deficiência</w:t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     ) transgênero</w:t>
      </w:r>
    </w:p>
    <w:p w:rsidR="00000000" w:rsidDel="00000000" w:rsidP="00000000" w:rsidRDefault="00000000" w:rsidRPr="00000000" w14:paraId="00000009">
      <w:pPr>
        <w:widowControl w:val="0"/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     ) travesti</w:t>
      </w:r>
    </w:p>
    <w:p w:rsidR="00000000" w:rsidDel="00000000" w:rsidP="00000000" w:rsidRDefault="00000000" w:rsidRPr="00000000" w14:paraId="0000000A">
      <w:pPr>
        <w:widowControl w:val="0"/>
        <w:spacing w:after="0" w:line="360" w:lineRule="auto"/>
        <w:jc w:val="both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Declaro, também, </w:t>
      </w: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estar ciente de que, em caso de declaração falsa ou de não comprovação, terei minha inscrição processada como de candidato para ampla concorrência no certame aqui pretendido.</w:t>
      </w:r>
    </w:p>
    <w:p w:rsidR="00000000" w:rsidDel="00000000" w:rsidP="00000000" w:rsidRDefault="00000000" w:rsidRPr="00000000" w14:paraId="0000000C">
      <w:pPr>
        <w:widowControl w:val="0"/>
        <w:spacing w:after="0" w:line="360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br w:type="textWrapping"/>
      </w: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___________________, _____ de ________________ de ______</w:t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Questrial" w:cs="Questrial" w:eastAsia="Questrial" w:hAnsi="Questrial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        (município)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br w:type="textWrapping"/>
      </w: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________________________________________________</w:t>
      </w: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br w:type="textWrapping"/>
      </w:r>
      <w:r w:rsidDel="00000000" w:rsidR="00000000" w:rsidRPr="00000000">
        <w:rPr>
          <w:rFonts w:ascii="Questrial" w:cs="Questrial" w:eastAsia="Questrial" w:hAnsi="Questrial"/>
          <w:color w:val="000000"/>
          <w:sz w:val="24"/>
          <w:szCs w:val="24"/>
          <w:rtl w:val="0"/>
        </w:rPr>
        <w:t xml:space="preserve">                                  ( assinatura)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8" w:top="1418" w:left="1701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estrial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___________________________________________________________________________________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Diretoria de Tutoria - Fundação CECIERJ</w: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Praça Cristiano Ottoni, s/n – Prédio da Central do Brasil – 6º andar – sala 642</w:t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Centro – Rio de Janeiro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Diretoria de Tutoria e Avaliação Educacional - Fundação CECIERJ</w:t>
    </w:r>
  </w:p>
  <w:p w:rsidR="00000000" w:rsidDel="00000000" w:rsidP="00000000" w:rsidRDefault="00000000" w:rsidRPr="00000000" w14:paraId="00000024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Rua Benedito Hipólito, 216, 11° andar - Cidade Nova</w:t>
    </w:r>
  </w:p>
  <w:p w:rsidR="00000000" w:rsidDel="00000000" w:rsidP="00000000" w:rsidRDefault="00000000" w:rsidRPr="00000000" w14:paraId="00000025">
    <w:pP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Rio de Janeiro, RJ, CEP 20.211-130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2481580</wp:posOffset>
          </wp:positionH>
          <wp:positionV relativeFrom="paragraph">
            <wp:posOffset>-123811</wp:posOffset>
          </wp:positionV>
          <wp:extent cx="620395" cy="758825"/>
          <wp:effectExtent b="0" l="0" r="0" t="0"/>
          <wp:wrapSquare wrapText="bothSides" distB="0" distT="0" distL="114300" distR="114300"/>
          <wp:docPr id="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395" cy="7588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/>
      <w:drawing>
        <wp:inline distB="0" distT="0" distL="0" distR="0">
          <wp:extent cx="704850" cy="876300"/>
          <wp:effectExtent b="0" l="0" r="0" t="0"/>
          <wp:docPr descr="C:\Users\acaroline\Downloads\logo_governo_pb.png" id="23" name="image2.png"/>
          <a:graphic>
            <a:graphicData uri="http://schemas.openxmlformats.org/drawingml/2006/picture">
              <pic:pic>
                <pic:nvPicPr>
                  <pic:cNvPr descr="C:\Users\acaroline\Downloads\logo_governo_pb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876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</w:p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  <w:jc w:val="both"/>
      <w:rPr>
        <w:rFonts w:ascii="Questrial" w:cs="Questrial" w:eastAsia="Questrial" w:hAnsi="Questrial"/>
      </w:rPr>
    </w:pPr>
    <w:r w:rsidDel="00000000" w:rsidR="00000000" w:rsidRPr="00000000">
      <w:rPr>
        <w:rFonts w:ascii="Questrial" w:cs="Questrial" w:eastAsia="Questrial" w:hAnsi="Questrial"/>
        <w:b w:val="1"/>
        <w:bCs w:val="1"/>
        <w:color w:val="000000"/>
        <w:sz w:val="24"/>
        <w:szCs w:val="24"/>
        <w:rtl w:val="0"/>
      </w:rPr>
      <w:t xml:space="preserve">ANEXO I</w:t>
    </w:r>
    <w:r w:rsidDel="00000000" w:rsidR="00000000" w:rsidRPr="00000000">
      <w:rPr>
        <w:rFonts w:ascii="Questrial" w:cs="Questrial" w:eastAsia="Questrial" w:hAnsi="Questrial"/>
        <w:b w:val="1"/>
        <w:bCs w:val="1"/>
        <w:sz w:val="24"/>
        <w:szCs w:val="24"/>
        <w:rtl w:val="0"/>
      </w:rPr>
      <w:t xml:space="preserve">V </w:t>
    </w:r>
    <w:r w:rsidDel="00000000" w:rsidR="00000000" w:rsidRPr="00000000">
      <w:rPr>
        <w:rFonts w:ascii="Questrial" w:cs="Questrial" w:eastAsia="Questrial" w:hAnsi="Questrial"/>
        <w:b w:val="1"/>
        <w:bCs w:val="1"/>
        <w:color w:val="000000"/>
        <w:sz w:val="24"/>
        <w:szCs w:val="24"/>
        <w:rtl w:val="0"/>
      </w:rPr>
      <w:t xml:space="preserve"> – </w:t>
    </w:r>
    <w:r w:rsidDel="00000000" w:rsidR="00000000" w:rsidRPr="00000000">
      <w:rPr>
        <w:rFonts w:ascii="Questrial" w:cs="Questrial" w:eastAsia="Questrial" w:hAnsi="Questrial"/>
        <w:b w:val="1"/>
        <w:bCs w:val="1"/>
        <w:sz w:val="24"/>
        <w:szCs w:val="24"/>
        <w:rtl w:val="0"/>
      </w:rPr>
      <w:t xml:space="preserve">Termo de Autodeclaração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432" w:hanging="432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576" w:hanging="576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720" w:hanging="720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864" w:hanging="864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008" w:hanging="1008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152" w:hanging="1152"/>
    </w:pPr>
    <w:rPr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rsid w:val="005538C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1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rsid w:val="005538C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1"/>
    <w:rsid w:val="005538C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1"/>
    <w:rsid w:val="005538C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14E5B"/>
  </w:style>
  <w:style w:type="paragraph" w:styleId="Rodap">
    <w:name w:val="footer"/>
    <w:basedOn w:val="Normal"/>
    <w:link w:val="Rodap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14E5B"/>
  </w:style>
  <w:style w:type="character" w:styleId="Hyperlink">
    <w:name w:val="Hyperlink"/>
    <w:basedOn w:val="Fontepargpadro"/>
    <w:uiPriority w:val="99"/>
    <w:unhideWhenUsed w:val="1"/>
    <w:rsid w:val="00DB01A5"/>
    <w:rPr>
      <w:color w:val="0000ff"/>
      <w:u w:val="single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7975C9"/>
    <w:rPr>
      <w:color w:val="605e5c"/>
      <w:shd w:color="auto" w:fill="e1dfdd" w:val="clear"/>
    </w:rPr>
  </w:style>
  <w:style w:type="character" w:styleId="m-5511915111957912965gmail-gi" w:customStyle="1">
    <w:name w:val="m_-5511915111957912965gmail-gi"/>
    <w:basedOn w:val="Fontepargpadro"/>
    <w:rsid w:val="00452518"/>
  </w:style>
  <w:style w:type="paragraph" w:styleId="NormalWeb">
    <w:name w:val="Normal (Web)"/>
    <w:basedOn w:val="Normal"/>
    <w:uiPriority w:val="99"/>
    <w:unhideWhenUsed w:val="1"/>
    <w:rsid w:val="00443E2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ntstyle01" w:customStyle="1">
    <w:name w:val="fontstyle01"/>
    <w:basedOn w:val="Fontepargpadro"/>
    <w:rsid w:val="003310DE"/>
    <w:rPr>
      <w:rFonts w:ascii="TimesNewRomanPS-BoldMT" w:hAnsi="TimesNewRomanPS-BoldMT" w:hint="default"/>
      <w:b w:val="1"/>
      <w:bCs w:val="1"/>
      <w:i w:val="0"/>
      <w:iCs w:val="0"/>
      <w:color w:val="000000"/>
      <w:sz w:val="24"/>
      <w:szCs w:val="24"/>
    </w:rPr>
  </w:style>
  <w:style w:type="character" w:styleId="fontstyle21" w:customStyle="1">
    <w:name w:val="fontstyle21"/>
    <w:basedOn w:val="Fontepargpadro"/>
    <w:rsid w:val="003310D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A762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A762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estrial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inqOILeC814Oz5NThFeVTu/Cag==">CgMxLjA4AHIhMWVtbUhIUko2OE8yQmFvQ0cyOU83Q1gtTkIwMWNGVndP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2019-08-08T19:33:00Z</dcterms:created>
  <dc:creator>Marianna Bernstein</dc:creator>
</cp:coreProperties>
</file>